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16" w:rsidRDefault="00BF7B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Nagylóc Község Önkormányzata Képviselő-testületének </w:t>
      </w:r>
      <w:r w:rsidR="00852A5A">
        <w:rPr>
          <w:b/>
          <w:bCs/>
        </w:rPr>
        <w:t>…</w:t>
      </w:r>
      <w:r>
        <w:rPr>
          <w:b/>
          <w:bCs/>
        </w:rPr>
        <w:t>/2023. (VII. 31.) önkormányzati rendelete</w:t>
      </w:r>
    </w:p>
    <w:p w:rsidR="00852A5A" w:rsidRDefault="00852A5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(tervezet)</w:t>
      </w:r>
      <w:bookmarkStart w:id="0" w:name="_GoBack"/>
      <w:bookmarkEnd w:id="0"/>
    </w:p>
    <w:p w:rsidR="00070216" w:rsidRDefault="00BF7B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és gyermekvédelmi feladatok ellátásáról szóló 12/2022. (VII.28.) önkormányzati rendelet módosításáról</w:t>
      </w:r>
    </w:p>
    <w:p w:rsidR="00070216" w:rsidRDefault="00BF7B7B">
      <w:pPr>
        <w:pStyle w:val="Szvegtrzs"/>
        <w:spacing w:before="220" w:after="0" w:line="240" w:lineRule="auto"/>
        <w:jc w:val="both"/>
      </w:pPr>
      <w:r>
        <w:t xml:space="preserve">Nagylóc Község Önkormányzatának </w:t>
      </w:r>
      <w:r>
        <w:t>Képviselő-testülete Magyarország helyi önkormányzatairól szóló 2011. évi CLXXXIX. törvény 13. § (1) bekezdés 8.-8a. pontjaiban a szociális igazgatásról és szociális ellátásokról szóló 1993. évi III. törvény 132. § (4) bekezdés d) és g) pontjában és az Alap</w:t>
      </w:r>
      <w:r>
        <w:t>törvény 32. cikk (1) bekezdés a) pontjában meghatározott feladatkörében eljárva, a következőket rendeli el:</w:t>
      </w:r>
    </w:p>
    <w:p w:rsidR="00070216" w:rsidRDefault="00BF7B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70216" w:rsidRDefault="00BF7B7B">
      <w:pPr>
        <w:pStyle w:val="Szvegtrzs"/>
        <w:spacing w:after="0" w:line="240" w:lineRule="auto"/>
        <w:jc w:val="both"/>
      </w:pPr>
      <w:r>
        <w:t>Hatályát veszti a szociális és a gyermekvédelmi ellátásokról szóló 12/2022. (VII. 28.) önkormányzati rendelet 3. § (3) bekezdés d) pontja.</w:t>
      </w:r>
    </w:p>
    <w:p w:rsidR="00070216" w:rsidRDefault="00BF7B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70216" w:rsidRDefault="00BF7B7B">
      <w:pPr>
        <w:pStyle w:val="Szvegtrzs"/>
        <w:spacing w:after="0" w:line="240" w:lineRule="auto"/>
        <w:jc w:val="both"/>
        <w:sectPr w:rsidR="0007021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augusztus 1-jén lép hatályba.</w:t>
      </w:r>
    </w:p>
    <w:p w:rsidR="00070216" w:rsidRDefault="00070216">
      <w:pPr>
        <w:pStyle w:val="Szvegtrzs"/>
        <w:spacing w:after="0"/>
        <w:jc w:val="center"/>
      </w:pPr>
    </w:p>
    <w:p w:rsidR="00070216" w:rsidRDefault="00BF7B7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070216" w:rsidRDefault="00BF7B7B">
      <w:pPr>
        <w:pStyle w:val="Szvegtrzs"/>
        <w:spacing w:before="159" w:after="159" w:line="240" w:lineRule="auto"/>
        <w:ind w:left="159" w:right="159"/>
        <w:jc w:val="both"/>
      </w:pPr>
      <w:r>
        <w:t xml:space="preserve">Az önkormányzat Képviselő-testületében bekövetkező személyi változások </w:t>
      </w:r>
      <w:r>
        <w:t>okán az új Képviselő- testület a rendkívüli települési támogatásokat a továbbiakban zárt ülés keretein belül kívánja megtárgyalni.</w:t>
      </w:r>
    </w:p>
    <w:sectPr w:rsidR="0007021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7B" w:rsidRDefault="00BF7B7B">
      <w:r>
        <w:separator/>
      </w:r>
    </w:p>
  </w:endnote>
  <w:endnote w:type="continuationSeparator" w:id="0">
    <w:p w:rsidR="00BF7B7B" w:rsidRDefault="00BF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16" w:rsidRDefault="00BF7B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16" w:rsidRDefault="00BF7B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7B" w:rsidRDefault="00BF7B7B">
      <w:r>
        <w:separator/>
      </w:r>
    </w:p>
  </w:footnote>
  <w:footnote w:type="continuationSeparator" w:id="0">
    <w:p w:rsidR="00BF7B7B" w:rsidRDefault="00BF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1789"/>
    <w:multiLevelType w:val="multilevel"/>
    <w:tmpl w:val="1772BE0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16"/>
    <w:rsid w:val="00070216"/>
    <w:rsid w:val="00852A5A"/>
    <w:rsid w:val="00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70CC"/>
  <w15:docId w15:val="{59173C60-EF5A-40F9-B780-6ECA8B7D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Aljegyző</cp:lastModifiedBy>
  <cp:revision>2</cp:revision>
  <dcterms:created xsi:type="dcterms:W3CDTF">2023-07-26T14:28:00Z</dcterms:created>
  <dcterms:modified xsi:type="dcterms:W3CDTF">2023-07-26T14:28:00Z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