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5FAB" w14:textId="37DD94E3" w:rsidR="00D51AD1" w:rsidRDefault="00D51AD1" w:rsidP="00D51AD1"/>
    <w:p w14:paraId="3BCD0EF8" w14:textId="7A5BCCC5" w:rsidR="00D51AD1" w:rsidRPr="00D51AD1" w:rsidRDefault="00D51AD1" w:rsidP="00D51AD1">
      <w:pPr>
        <w:pStyle w:val="Cmsor1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hu-HU" w:bidi="ar-SA"/>
        </w:rPr>
      </w:pPr>
      <w:bookmarkStart w:id="0" w:name="_GoBack"/>
      <w:bookmarkEnd w:id="0"/>
      <w:r w:rsidRPr="00D51AD1">
        <w:rPr>
          <w:rFonts w:ascii="Times New Roman" w:eastAsia="Times New Roman" w:hAnsi="Times New Roman" w:cs="Times New Roman"/>
          <w:kern w:val="36"/>
          <w:sz w:val="28"/>
          <w:szCs w:val="28"/>
          <w:lang w:eastAsia="hu-HU" w:bidi="ar-SA"/>
        </w:rPr>
        <w:t>Nagylóc Község Önkormányzata Képviselő-testületének 1/2025. (III. 14.) önkormányzati rendelete</w:t>
      </w:r>
    </w:p>
    <w:p w14:paraId="44C41AAF" w14:textId="77777777" w:rsidR="00D51AD1" w:rsidRPr="00D51AD1" w:rsidRDefault="00D51AD1" w:rsidP="00D51AD1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hu-HU" w:bidi="ar-SA"/>
        </w:rPr>
      </w:pPr>
      <w:r w:rsidRPr="00D51AD1">
        <w:rPr>
          <w:rFonts w:eastAsia="Times New Roman" w:cs="Times New Roman"/>
          <w:b/>
          <w:bCs/>
          <w:kern w:val="0"/>
          <w:sz w:val="28"/>
          <w:szCs w:val="28"/>
          <w:lang w:eastAsia="hu-HU" w:bidi="ar-SA"/>
        </w:rPr>
        <w:t>Nagylóc Község Önkormányzatának 2025. évi költségvetéséről</w:t>
      </w:r>
    </w:p>
    <w:p w14:paraId="7175F7BA" w14:textId="2ECB93FC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 </w:t>
      </w:r>
      <w:r w:rsidRPr="00D51AD1">
        <w:rPr>
          <w:rFonts w:eastAsia="Times New Roman" w:cs="Times New Roman"/>
          <w:kern w:val="0"/>
          <w:lang w:eastAsia="hu-HU" w:bidi="ar-SA"/>
        </w:rPr>
        <w:t>[1] A rendelet célja Nagylóc Község Önkormányzatának 2025. évi költségvetési - mint az önkormányzat gazdálkodási alapja - egyensúlyának, és a közpénzekkel való szabályszerű, áttekinthető, gazdaságos, hatékony, eredményes és ellenőrizhető gazdálkodásának biztosítása.</w:t>
      </w:r>
    </w:p>
    <w:p w14:paraId="55AD93BA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[2] Nagylóc Község Önkormányzat Képviselő-testülete </w:t>
      </w:r>
      <w:hyperlink r:id="rId8" w:anchor="CA32@BE1@POF" w:tgtFrame="_blank" w:history="1">
        <w:r w:rsidRPr="00D51AD1">
          <w:rPr>
            <w:rFonts w:eastAsia="Times New Roman" w:cs="Times New Roman"/>
            <w:kern w:val="0"/>
            <w:lang w:eastAsia="hu-HU" w:bidi="ar-SA"/>
          </w:rPr>
          <w:t>az Alaptörvény 32. cikk (1) bekezdés f) pont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ja alapján, </w:t>
      </w:r>
      <w:hyperlink r:id="rId9" w:anchor="CA32@BE2" w:tgtFrame="_blank" w:history="1">
        <w:r w:rsidRPr="00D51AD1">
          <w:rPr>
            <w:rFonts w:eastAsia="Times New Roman" w:cs="Times New Roman"/>
            <w:kern w:val="0"/>
            <w:lang w:eastAsia="hu-HU" w:bidi="ar-SA"/>
          </w:rPr>
          <w:t>az Alaptörvény 32. cikk (2) bekezdés</w:t>
        </w:r>
      </w:hyperlink>
      <w:r w:rsidRPr="00D51AD1">
        <w:rPr>
          <w:rFonts w:eastAsia="Times New Roman" w:cs="Times New Roman"/>
          <w:kern w:val="0"/>
          <w:lang w:eastAsia="hu-HU" w:bidi="ar-SA"/>
        </w:rPr>
        <w:t>ében meghatározott jogalkotói hatáskörében eljárva Nagylóc Község Önkormányzata 2025. évi költségvetéséről a következőket rendeli el:</w:t>
      </w:r>
    </w:p>
    <w:p w14:paraId="7F093BD4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1. § A rendelet hatálya a képviselő-testületre és bizottságára, az Önkormányzatra és az irányítása alá tartozó költségvetési szervekre terjed ki.</w:t>
      </w:r>
    </w:p>
    <w:p w14:paraId="20493E7C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2. § (1) Nagylóc Község Önkormányzata a 2025. évi költségvetés konszolidált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főösszege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>:</w:t>
      </w:r>
    </w:p>
    <w:p w14:paraId="34EEE84D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a) bevételi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főösszegét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533.638.375 Ft-ban,</w:t>
      </w:r>
    </w:p>
    <w:p w14:paraId="4C528FDD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b) kiadási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főösszegét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533.638.375 Ft-ban állapítja meg.</w:t>
      </w:r>
    </w:p>
    <w:p w14:paraId="1665EC7A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(2) A </w:t>
      </w:r>
      <w:hyperlink r:id="rId10" w:anchor="SZ2@BE1" w:history="1">
        <w:r w:rsidRPr="00D51AD1">
          <w:rPr>
            <w:rFonts w:eastAsia="Times New Roman" w:cs="Times New Roman"/>
            <w:kern w:val="0"/>
            <w:lang w:eastAsia="hu-HU" w:bidi="ar-SA"/>
          </w:rPr>
          <w:t>2. § (1) bekezdés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ében meghatározott bevételi és kiadási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főösszegen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belül</w:t>
      </w:r>
    </w:p>
    <w:p w14:paraId="5F2DB9F8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a)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Nagylóci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Csicsergő Óvoda és Konyha bevételi és kiadási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főösszege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129.149.907 Ft</w:t>
      </w:r>
    </w:p>
    <w:p w14:paraId="78443B07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b)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Nagylóci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Szociális Alapszolgáltatási Központ bevételi és kiadási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főösszege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24.064.500 Ft</w:t>
      </w:r>
    </w:p>
    <w:p w14:paraId="6C9976DF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c) Önkormányzat bevételi és kiadási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főösszege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380.423.968 Ft</w:t>
      </w:r>
    </w:p>
    <w:p w14:paraId="5672489D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d) Önkormányzat bevételi és kiadási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főösszege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nettósítva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>: 243.578.809 Ft</w:t>
      </w:r>
    </w:p>
    <w:p w14:paraId="795895C2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3. § (1) A </w:t>
      </w:r>
      <w:hyperlink r:id="rId11" w:anchor="SZ2" w:history="1">
        <w:r w:rsidRPr="00D51AD1">
          <w:rPr>
            <w:rFonts w:eastAsia="Times New Roman" w:cs="Times New Roman"/>
            <w:kern w:val="0"/>
            <w:lang w:eastAsia="hu-HU" w:bidi="ar-SA"/>
          </w:rPr>
          <w:t>2. §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-ban meghatározott bevételi és kiadási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főösszeg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fő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jogcímcsoportonként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megosztását, valamint önkormányzati szinten összesítetten az </w:t>
      </w:r>
      <w:hyperlink r:id="rId12" w:anchor="ME1" w:history="1">
        <w:r w:rsidRPr="00D51AD1">
          <w:rPr>
            <w:rFonts w:eastAsia="Times New Roman" w:cs="Times New Roman"/>
            <w:kern w:val="0"/>
            <w:lang w:eastAsia="hu-HU" w:bidi="ar-SA"/>
          </w:rPr>
          <w:t>1.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, valamint intézményi szinten a </w:t>
      </w:r>
      <w:hyperlink r:id="rId13" w:anchor="ME2" w:history="1">
        <w:r w:rsidRPr="00D51AD1">
          <w:rPr>
            <w:rFonts w:eastAsia="Times New Roman" w:cs="Times New Roman"/>
            <w:kern w:val="0"/>
            <w:lang w:eastAsia="hu-HU" w:bidi="ar-SA"/>
          </w:rPr>
          <w:t>2.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, </w:t>
      </w:r>
      <w:hyperlink r:id="rId14" w:anchor="ME4" w:history="1">
        <w:r w:rsidRPr="00D51AD1">
          <w:rPr>
            <w:rFonts w:eastAsia="Times New Roman" w:cs="Times New Roman"/>
            <w:kern w:val="0"/>
            <w:lang w:eastAsia="hu-HU" w:bidi="ar-SA"/>
          </w:rPr>
          <w:t>4.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, </w:t>
      </w:r>
      <w:hyperlink r:id="rId15" w:anchor="ME6" w:history="1">
        <w:r w:rsidRPr="00D51AD1">
          <w:rPr>
            <w:rFonts w:eastAsia="Times New Roman" w:cs="Times New Roman"/>
            <w:kern w:val="0"/>
            <w:lang w:eastAsia="hu-HU" w:bidi="ar-SA"/>
          </w:rPr>
          <w:t>6.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 tartalmazzák.</w:t>
      </w:r>
    </w:p>
    <w:p w14:paraId="567634CD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(2) Önkormányzati szinten összesítetten:</w:t>
      </w:r>
    </w:p>
    <w:p w14:paraId="0FD48A19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(3) Bevételi előirányzat kiemelt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előirányzatonként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>:</w:t>
      </w:r>
    </w:p>
    <w:p w14:paraId="67C28A97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a) Önkormányzatok működési támogatásai </w:t>
      </w:r>
      <w:proofErr w:type="gramStart"/>
      <w:r w:rsidRPr="00D51AD1">
        <w:rPr>
          <w:rFonts w:eastAsia="Times New Roman" w:cs="Times New Roman"/>
          <w:kern w:val="0"/>
          <w:lang w:eastAsia="hu-HU" w:bidi="ar-SA"/>
        </w:rPr>
        <w:t>áh.-</w:t>
      </w:r>
      <w:proofErr w:type="spellStart"/>
      <w:proofErr w:type="gramEnd"/>
      <w:r w:rsidRPr="00D51AD1">
        <w:rPr>
          <w:rFonts w:eastAsia="Times New Roman" w:cs="Times New Roman"/>
          <w:kern w:val="0"/>
          <w:lang w:eastAsia="hu-HU" w:bidi="ar-SA"/>
        </w:rPr>
        <w:t>on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belülről 317.963.216 Ft</w:t>
      </w:r>
    </w:p>
    <w:p w14:paraId="2D4BB4D3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b) Közhatalmi bevételek 43.074.000 Ft</w:t>
      </w:r>
    </w:p>
    <w:p w14:paraId="4C64C0B1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c) Működési bevételek 35.756.000 Ft</w:t>
      </w:r>
    </w:p>
    <w:p w14:paraId="50412F6D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d) Működési célú átvett pénzeszköz 0 Ft</w:t>
      </w:r>
    </w:p>
    <w:p w14:paraId="6FC53C5D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lastRenderedPageBreak/>
        <w:t>e) Felhalmozási bevételek 0 Ft</w:t>
      </w:r>
    </w:p>
    <w:p w14:paraId="7CA9BED5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f) Finanszírozási bevételek 136.845.159 Ft</w:t>
      </w:r>
    </w:p>
    <w:p w14:paraId="170AE5BF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(4) Kiadási előirányzat kiemelt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előirányzatonként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>:</w:t>
      </w:r>
    </w:p>
    <w:p w14:paraId="181C8750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(5) Működési kiadások</w:t>
      </w:r>
    </w:p>
    <w:p w14:paraId="197FC103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a) Személyi juttatások 192.745.458 Ft</w:t>
      </w:r>
    </w:p>
    <w:p w14:paraId="551C455D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b) Munkaadókat terhelő járulékok és szociális hozzájárulási adó 19.305.449 Ft</w:t>
      </w:r>
    </w:p>
    <w:p w14:paraId="389DE03F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c) Dologi kiadások 166.360.500 Ft</w:t>
      </w:r>
    </w:p>
    <w:p w14:paraId="1BB0941A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d) Ellátottak pénzbeli juttatásai 5.000.000 Ft</w:t>
      </w:r>
    </w:p>
    <w:p w14:paraId="602E5A4C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e) Működési célú tartalékok 0 Ft</w:t>
      </w:r>
    </w:p>
    <w:p w14:paraId="6D4AFFEE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f) működési célú általános tartalék: 0 Ft</w:t>
      </w:r>
    </w:p>
    <w:p w14:paraId="714943FF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g) működési célú céltartalékok: 0 Ft</w:t>
      </w:r>
    </w:p>
    <w:p w14:paraId="22C27544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(6) Egyéb működési célú kiadások 4.910.000Ft</w:t>
      </w:r>
    </w:p>
    <w:p w14:paraId="19196D46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(7) Felhalmozási kiadások: 1.193.000 Ft</w:t>
      </w:r>
    </w:p>
    <w:p w14:paraId="7F81D969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a) felújítások 0 Ft</w:t>
      </w:r>
    </w:p>
    <w:p w14:paraId="337EA02F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b) beruházások 1.193.000 Ft</w:t>
      </w:r>
    </w:p>
    <w:p w14:paraId="1BD3FB7A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c) egyéb felhalmozási célú kiadások 0 Ft</w:t>
      </w:r>
    </w:p>
    <w:p w14:paraId="2E6326FA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(8) Felhalmozási célú tartalékok 0 Ft</w:t>
      </w:r>
    </w:p>
    <w:p w14:paraId="2CDB0C61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a) felhalmozási célú általános tartalék: 0 Ft</w:t>
      </w:r>
    </w:p>
    <w:p w14:paraId="6A76AA9F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b) felhalmozási célú céltartalékok: 0 Ft</w:t>
      </w:r>
    </w:p>
    <w:p w14:paraId="657C773E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(9) Finanszírozási kiadások 144.123.968 Ft</w:t>
      </w:r>
    </w:p>
    <w:p w14:paraId="72F76B6C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(10) A költségvetés feladat jellege szerinti megoszlása:</w:t>
      </w:r>
    </w:p>
    <w:p w14:paraId="18E10FA3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(11) A bevételek feladat jellege szerinti megoszlása:</w:t>
      </w:r>
    </w:p>
    <w:p w14:paraId="0D21AE5E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a) kötelező: 533.638.375 Ft</w:t>
      </w:r>
    </w:p>
    <w:p w14:paraId="602B10EE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b) önként vállalt: 0 Ft</w:t>
      </w:r>
    </w:p>
    <w:p w14:paraId="6F3570EC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(12) A kiadások feladat jellege szerinti megoszlása:</w:t>
      </w:r>
    </w:p>
    <w:p w14:paraId="7039EE3D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lastRenderedPageBreak/>
        <w:t>a) kötelező: 533.638.375 Ft</w:t>
      </w:r>
    </w:p>
    <w:p w14:paraId="79759890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b) önként vállalt: 0 Ft</w:t>
      </w:r>
    </w:p>
    <w:p w14:paraId="2F6AB6A3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Felhalmozási kiadások</w:t>
      </w:r>
    </w:p>
    <w:p w14:paraId="2BED5B77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4. § (1) Felújítási kiadások 0 Ft a </w:t>
      </w:r>
      <w:hyperlink r:id="rId16" w:anchor="ME8" w:history="1">
        <w:r w:rsidRPr="00D51AD1">
          <w:rPr>
            <w:rFonts w:eastAsia="Times New Roman" w:cs="Times New Roman"/>
            <w:kern w:val="0"/>
            <w:lang w:eastAsia="hu-HU" w:bidi="ar-SA"/>
          </w:rPr>
          <w:t>8.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 tartalmazza.</w:t>
      </w:r>
    </w:p>
    <w:p w14:paraId="4BDAAC50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(2) Beruházási kiadások:1.193.000 Ft az </w:t>
      </w:r>
      <w:hyperlink r:id="rId17" w:anchor="ME8" w:history="1">
        <w:r w:rsidRPr="00D51AD1">
          <w:rPr>
            <w:rFonts w:eastAsia="Times New Roman" w:cs="Times New Roman"/>
            <w:kern w:val="0"/>
            <w:lang w:eastAsia="hu-HU" w:bidi="ar-SA"/>
          </w:rPr>
          <w:t>8.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 tartalmazza.</w:t>
      </w:r>
    </w:p>
    <w:p w14:paraId="1F1148DD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Költségvetést alátámasztó kimutatások</w:t>
      </w:r>
    </w:p>
    <w:p w14:paraId="75250AEB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5. § (1) A költségvetés alátámasztására az alábbi kimutatásokat fogadja el:</w:t>
      </w:r>
    </w:p>
    <w:p w14:paraId="2920C1E6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a) Nagylóc Község Önkormányzata és az irányítása alá tartozó költségvetési szervek 2025. évi mérlegét a </w:t>
      </w:r>
      <w:hyperlink r:id="rId18" w:anchor="ME2" w:history="1">
        <w:r w:rsidRPr="00D51AD1">
          <w:rPr>
            <w:rFonts w:eastAsia="Times New Roman" w:cs="Times New Roman"/>
            <w:kern w:val="0"/>
            <w:lang w:eastAsia="hu-HU" w:bidi="ar-SA"/>
          </w:rPr>
          <w:t>2.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, </w:t>
      </w:r>
      <w:hyperlink r:id="rId19" w:anchor="ME4" w:history="1">
        <w:r w:rsidRPr="00D51AD1">
          <w:rPr>
            <w:rFonts w:eastAsia="Times New Roman" w:cs="Times New Roman"/>
            <w:kern w:val="0"/>
            <w:lang w:eastAsia="hu-HU" w:bidi="ar-SA"/>
          </w:rPr>
          <w:t>4.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 </w:t>
      </w:r>
      <w:hyperlink r:id="rId20" w:anchor="ME6" w:history="1">
        <w:r w:rsidRPr="00D51AD1">
          <w:rPr>
            <w:rFonts w:eastAsia="Times New Roman" w:cs="Times New Roman"/>
            <w:kern w:val="0"/>
            <w:lang w:eastAsia="hu-HU" w:bidi="ar-SA"/>
          </w:rPr>
          <w:t>6.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 tartalmazzák.</w:t>
      </w:r>
    </w:p>
    <w:p w14:paraId="68BB5704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b) Nagylóc Község Önkormányzata és az irányítása alá tartozó költségvetési szervek 2025. évi feladatalapú kimutatását a </w:t>
      </w:r>
      <w:hyperlink r:id="rId21" w:anchor="ME3" w:history="1">
        <w:r w:rsidRPr="00D51AD1">
          <w:rPr>
            <w:rFonts w:eastAsia="Times New Roman" w:cs="Times New Roman"/>
            <w:kern w:val="0"/>
            <w:lang w:eastAsia="hu-HU" w:bidi="ar-SA"/>
          </w:rPr>
          <w:t>3.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, </w:t>
      </w:r>
      <w:hyperlink r:id="rId22" w:anchor="ME5" w:history="1">
        <w:r w:rsidRPr="00D51AD1">
          <w:rPr>
            <w:rFonts w:eastAsia="Times New Roman" w:cs="Times New Roman"/>
            <w:kern w:val="0"/>
            <w:lang w:eastAsia="hu-HU" w:bidi="ar-SA"/>
          </w:rPr>
          <w:t>5.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, </w:t>
      </w:r>
      <w:hyperlink r:id="rId23" w:anchor="ME7" w:history="1">
        <w:r w:rsidRPr="00D51AD1">
          <w:rPr>
            <w:rFonts w:eastAsia="Times New Roman" w:cs="Times New Roman"/>
            <w:kern w:val="0"/>
            <w:lang w:eastAsia="hu-HU" w:bidi="ar-SA"/>
          </w:rPr>
          <w:t>7.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 tartalmazzák.</w:t>
      </w:r>
    </w:p>
    <w:p w14:paraId="760612B6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c) Nagylóc Község Önkormányzata 2025. évi költségvetés feladat jellege szerinti kimutatását a </w:t>
      </w:r>
      <w:hyperlink r:id="rId24" w:anchor="ME9" w:history="1">
        <w:r w:rsidRPr="00D51AD1">
          <w:rPr>
            <w:rFonts w:eastAsia="Times New Roman" w:cs="Times New Roman"/>
            <w:kern w:val="0"/>
            <w:lang w:eastAsia="hu-HU" w:bidi="ar-SA"/>
          </w:rPr>
          <w:t>9.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 tartalmazza.</w:t>
      </w:r>
    </w:p>
    <w:p w14:paraId="6208BD49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d) Nagylóc Község Önkormányzata 2025. évi Európai Unió által finanszírozott projektek bemutatását a </w:t>
      </w:r>
      <w:hyperlink r:id="rId25" w:anchor="ME11" w:history="1">
        <w:r w:rsidRPr="00D51AD1">
          <w:rPr>
            <w:rFonts w:eastAsia="Times New Roman" w:cs="Times New Roman"/>
            <w:kern w:val="0"/>
            <w:lang w:eastAsia="hu-HU" w:bidi="ar-SA"/>
          </w:rPr>
          <w:t>11.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 tartalmazza.</w:t>
      </w:r>
    </w:p>
    <w:p w14:paraId="04528C63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e) Nagylóc Község Önkormányzata 2025. évi adósságot keletkeztető ügyletek kimutatását a </w:t>
      </w:r>
      <w:hyperlink r:id="rId26" w:anchor="ME12" w:history="1">
        <w:r w:rsidRPr="00D51AD1">
          <w:rPr>
            <w:rFonts w:eastAsia="Times New Roman" w:cs="Times New Roman"/>
            <w:kern w:val="0"/>
            <w:lang w:eastAsia="hu-HU" w:bidi="ar-SA"/>
          </w:rPr>
          <w:t>12.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 tartalmazza.</w:t>
      </w:r>
    </w:p>
    <w:p w14:paraId="6DE076E5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f) Nagylóc Község Önkormányzata és az irányítása alá tartozó költségvetési szervek 2026. - 2027. - 2028. évi mérlegét a </w:t>
      </w:r>
      <w:hyperlink r:id="rId27" w:anchor="ME14" w:history="1">
        <w:r w:rsidRPr="00D51AD1">
          <w:rPr>
            <w:rFonts w:eastAsia="Times New Roman" w:cs="Times New Roman"/>
            <w:kern w:val="0"/>
            <w:lang w:eastAsia="hu-HU" w:bidi="ar-SA"/>
          </w:rPr>
          <w:t>14.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 tartalmazza.</w:t>
      </w:r>
    </w:p>
    <w:p w14:paraId="573E3397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g) Előirányzat felhasználási tervet a </w:t>
      </w:r>
      <w:hyperlink r:id="rId28" w:anchor="ME13" w:history="1">
        <w:r w:rsidRPr="00D51AD1">
          <w:rPr>
            <w:rFonts w:eastAsia="Times New Roman" w:cs="Times New Roman"/>
            <w:kern w:val="0"/>
            <w:lang w:eastAsia="hu-HU" w:bidi="ar-SA"/>
          </w:rPr>
          <w:t>13.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 tartalmazza.</w:t>
      </w:r>
    </w:p>
    <w:p w14:paraId="084E0033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(2) Adóelengedés, adókedvezmény 2025. évre vonatkozóan az önkormányzatnál nincsen.</w:t>
      </w:r>
    </w:p>
    <w:p w14:paraId="336A5DEC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(3) Közvetett támogatás 2025. évre vonatkozóan az önkormányzatnál nincs.</w:t>
      </w:r>
    </w:p>
    <w:p w14:paraId="12A205D2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Tárgyévi és többéves kihatásokkal járó kötelezettségek</w:t>
      </w:r>
    </w:p>
    <w:p w14:paraId="6CC61005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6. § (1) Az Önkormányzatnak többéves kihatással járó kötelezettségei nincsenek.</w:t>
      </w:r>
    </w:p>
    <w:p w14:paraId="05617BA4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(2) Hitelfelvételt a költségvetés nem tartalmaz.</w:t>
      </w:r>
    </w:p>
    <w:p w14:paraId="07D104BE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(3) Adósságot keletkeztető ügyletekből és az önkormányzati garanciákból és önkormányzati kezességekből fennálló kötelezettségek nincsenek.</w:t>
      </w:r>
    </w:p>
    <w:p w14:paraId="78AFAF68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7. § (1) A költségvetési többlet felhasználására képviselő-testületi döntést követően kerülhet sor.</w:t>
      </w:r>
    </w:p>
    <w:p w14:paraId="06E92671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(2) A költségvetési rendeletben a működési hiány összege 0 Ft.</w:t>
      </w:r>
    </w:p>
    <w:p w14:paraId="397461B1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lastRenderedPageBreak/>
        <w:t>(3) Az év közbeni költségvetési hiány belső finanszírozására az előző évi kötelezettségekkel nem terhelt maradványból év közbeni módosítással igénybe vehető.</w:t>
      </w:r>
    </w:p>
    <w:p w14:paraId="40D49652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(4) Jelen költségvetési rendelet előző évi maradvány igénybevételét nem tartalmaz. Saját bevétel hiányában a további költségvetési hiány külső finanszírozása hitelfelvétellel vagy ingatlan értékesítéssel biztosítható, mely csak Képviselő-testületi döntéssel vehető igénybe.</w:t>
      </w:r>
    </w:p>
    <w:p w14:paraId="3697AB85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(5) A költségvetés 0 Ft tartalékot, ezen belül 0 Ft általános tartalékot, illetve 0 Ft céltartalékot, ezen belül 0 Ft működési célú céltartalékot és 0 Ft felhalmozási célú céltartalékot tartalmaz.</w:t>
      </w:r>
    </w:p>
    <w:p w14:paraId="739BDE16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(6) Az önkormányzat intézményi társulásban nem lát el feladatot.</w:t>
      </w:r>
    </w:p>
    <w:p w14:paraId="3DA3EADA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(7) Az önkormányzat és intézménye vállalkozási tevékenységet nem folytat.</w:t>
      </w:r>
    </w:p>
    <w:p w14:paraId="54758695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Létszámgazdálkodás</w:t>
      </w:r>
    </w:p>
    <w:p w14:paraId="3BB8F6B8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8. § (1) Az önkormányzat és intézményei 2025. évi létszám előirányzatát a </w:t>
      </w:r>
      <w:hyperlink r:id="rId29" w:anchor="ME10" w:history="1">
        <w:r w:rsidRPr="00D51AD1">
          <w:rPr>
            <w:rFonts w:eastAsia="Times New Roman" w:cs="Times New Roman"/>
            <w:kern w:val="0"/>
            <w:lang w:eastAsia="hu-HU" w:bidi="ar-SA"/>
          </w:rPr>
          <w:t>10. melléklet</w:t>
        </w:r>
      </w:hyperlink>
      <w:r w:rsidRPr="00D51AD1">
        <w:rPr>
          <w:rFonts w:eastAsia="Times New Roman" w:cs="Times New Roman"/>
          <w:kern w:val="0"/>
          <w:lang w:eastAsia="hu-HU" w:bidi="ar-SA"/>
        </w:rPr>
        <w:t xml:space="preserve"> tartalmazza:</w:t>
      </w:r>
    </w:p>
    <w:p w14:paraId="41DDBC99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(2)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Nagylóci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Szociális Alapszolgáltatási Központ: 4 fő,</w:t>
      </w:r>
    </w:p>
    <w:p w14:paraId="7299058E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(3)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Nagylóci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Csicsergő Óvoda és Konyha: 12 fő,</w:t>
      </w:r>
    </w:p>
    <w:p w14:paraId="73771FD4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(4) Nagylóc Község Önkormányzata: 2 fő.</w:t>
      </w:r>
    </w:p>
    <w:p w14:paraId="3C0D02F9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A 2025. évi költségvetés végrehajtásának szabályai</w:t>
      </w:r>
    </w:p>
    <w:p w14:paraId="5A37E724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9. § (1) A költségvetési szervek esetében a tervezett saját bevétel elmaradása nem vonhatja maga után az intézményi finanszírozás növekedését, a bevételi kiesést a kiadások csökkentésével kell ellensúlyozni. A bevételi előirányzatok a pályázati pénzeszközök kivételével kizárólag azok túlteljesítése esetén növelhetők, és a költségvetési bevételek tervezettől történő elmaradása esetén azokat csökkenteni kell. A bevételkiesést a kiadások csökkentésével kell egyensúlyozni.</w:t>
      </w:r>
    </w:p>
    <w:p w14:paraId="2DAB445E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(2) A költségvetési szervek a jóváhagyott kiemelt előirányzatokon belül kötelesek gazdálkodni.</w:t>
      </w:r>
    </w:p>
    <w:p w14:paraId="1E6AA065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(3) A költségvetési szervek vezetői kötelesek az állami támogatásokhoz kapcsolódó mutatószámok alapdokumentumait és elszámolásait vezetni, azok adatszolgáltatásáért felelősséggel tartoznak. A mutatószámok a tervezetthez képest történő csökkenése esetén a költségvetési szerv vezetője köteleses a polgármestert tájékoztatni és haladéktalanul intézkedni a kiadások ehhez kapcsolódó csökkentése érdekében. A központi költségvetés részére történő visszafizetési kötelezettség teljesítése érdekében a 2024. évi maradvány bevételi többletet képező része is a visszafizetés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forrásául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szolgál a kiadási előirányzat maradványon felül.</w:t>
      </w:r>
    </w:p>
    <w:p w14:paraId="7B97F8C9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(4) A kiadásokban többlet költségvetési kihatással járó kötelezettség csak a képviselő-testület határozatával engedélyezhető, forrás feltüntetése nélkül előterjesztés nem kerülhet napirendre, határozat nem hozható. A bevételi előirányzaton felüli többletbevétel képviselő-testületi döntés alapján használható fel.</w:t>
      </w:r>
    </w:p>
    <w:p w14:paraId="10303CC5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(5) Az Önkormányzat képviselő-testülete által – támogatási megállapodás alapján – biztosított, különféle szervezetek részére nyújtott pénzeszköz átadások elszámolási kötelezettséggel juttathatók, a </w:t>
      </w:r>
      <w:r w:rsidRPr="00D51AD1">
        <w:rPr>
          <w:rFonts w:eastAsia="Times New Roman" w:cs="Times New Roman"/>
          <w:kern w:val="0"/>
          <w:lang w:eastAsia="hu-HU" w:bidi="ar-SA"/>
        </w:rPr>
        <w:lastRenderedPageBreak/>
        <w:t>rendeltetésszerű felhasználásáról el kell számolni. Csak az elszámolást követően nyújtható újabb támogatás.</w:t>
      </w:r>
    </w:p>
    <w:p w14:paraId="25980DE3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(6) A képviselő-testület felhatalmazza a polgármestert, hogy a likviditástól függően a szabad pénzeszközt a számlavezető pénzintézetnél éven belül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lekösse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>, olyan mértékben, ami nem veszélyezteti az önkormányzat gazdálkodását.</w:t>
      </w:r>
    </w:p>
    <w:p w14:paraId="55597968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 xml:space="preserve">(7) A képviselő-testület a közszolgálati tisztviselők illetményalapját 2025. évre vonatkozóan 46.380. Ft-ban állapítja meg. A képviselő-testület a köztisztviselők részére bruttó 500.000 Ft </w:t>
      </w:r>
      <w:proofErr w:type="spellStart"/>
      <w:r w:rsidRPr="00D51AD1">
        <w:rPr>
          <w:rFonts w:eastAsia="Times New Roman" w:cs="Times New Roman"/>
          <w:kern w:val="0"/>
          <w:lang w:eastAsia="hu-HU" w:bidi="ar-SA"/>
        </w:rPr>
        <w:t>cafetéria</w:t>
      </w:r>
      <w:proofErr w:type="spellEnd"/>
      <w:r w:rsidRPr="00D51AD1">
        <w:rPr>
          <w:rFonts w:eastAsia="Times New Roman" w:cs="Times New Roman"/>
          <w:kern w:val="0"/>
          <w:lang w:eastAsia="hu-HU" w:bidi="ar-SA"/>
        </w:rPr>
        <w:t xml:space="preserve"> keretet állapít meg.</w:t>
      </w:r>
    </w:p>
    <w:p w14:paraId="6493709B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(8) A költségvetési szervek vezetői kötelesek a takarékos gazdálkodásra törekedni, mely magába foglalja a költségvetési kiadások kiemelt előirányzatainak betartását. Kötelezettségvállalásra csak a költségvetési szerv vezetőjének jóváhagyását követően kerülhet sor. Be nem tartása esetén a felelősségre vonásról a munkáltatói jogkör gyakorlója dönt.</w:t>
      </w:r>
    </w:p>
    <w:p w14:paraId="0753E4BF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(9) Az év közbeni jogszabályváltozásokból adódó költségvetést érintő kihatásokról, többlet kiadásokról, illetve azok fedezetéről a képviselő-testület a szükséges rendeletmódosítást megtárgyalja.</w:t>
      </w:r>
    </w:p>
    <w:p w14:paraId="387B1F38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(10) Az Önkormányzat önként vállalt feladatokat nem lát el.</w:t>
      </w:r>
    </w:p>
    <w:p w14:paraId="66698B25" w14:textId="77777777" w:rsidR="00D51AD1" w:rsidRPr="00D51AD1" w:rsidRDefault="00D51AD1" w:rsidP="00D51AD1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51AD1">
        <w:rPr>
          <w:rFonts w:eastAsia="Times New Roman" w:cs="Times New Roman"/>
          <w:kern w:val="0"/>
          <w:lang w:eastAsia="hu-HU" w:bidi="ar-SA"/>
        </w:rPr>
        <w:t>10. § A rendelet a kihirdetés napján követő napon lép hatályba, de rendelkezéseit 2025. január 1-jétől (a költségvetési év első napjától) kell alkalmazni.</w:t>
      </w:r>
    </w:p>
    <w:p w14:paraId="4AA5A6E0" w14:textId="0AEE83E4" w:rsidR="00D51AD1" w:rsidRDefault="00D51AD1" w:rsidP="00D51AD1">
      <w:pPr>
        <w:tabs>
          <w:tab w:val="left" w:pos="1644"/>
        </w:tabs>
      </w:pPr>
    </w:p>
    <w:p w14:paraId="1FADCD73" w14:textId="69AF737D" w:rsidR="00AB4CCF" w:rsidRPr="00D51AD1" w:rsidRDefault="00D51AD1" w:rsidP="00D51AD1">
      <w:pPr>
        <w:tabs>
          <w:tab w:val="left" w:pos="1644"/>
        </w:tabs>
        <w:sectPr w:rsidR="00AB4CCF" w:rsidRPr="00D51AD1" w:rsidSect="00D51AD1">
          <w:footerReference w:type="default" r:id="rId30"/>
          <w:pgSz w:w="11906" w:h="16838"/>
          <w:pgMar w:top="1134" w:right="1134" w:bottom="1695" w:left="1134" w:header="0" w:footer="1134" w:gutter="0"/>
          <w:cols w:space="708"/>
          <w:formProt w:val="0"/>
          <w:docGrid w:linePitch="600" w:charSpace="32768"/>
        </w:sectPr>
      </w:pPr>
      <w:r>
        <w:tab/>
      </w:r>
    </w:p>
    <w:p w14:paraId="0BFD1488" w14:textId="77777777" w:rsidR="00AB4CCF" w:rsidRDefault="00AB4CCF">
      <w:pPr>
        <w:pStyle w:val="Szvegtrzs"/>
        <w:spacing w:after="0"/>
        <w:jc w:val="center"/>
      </w:pPr>
    </w:p>
    <w:p w14:paraId="07095F2E" w14:textId="77777777" w:rsidR="00AB4CCF" w:rsidRDefault="002650FE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0D951CEA" w14:textId="77777777" w:rsidR="00AB4CCF" w:rsidRDefault="002650FE">
      <w:pPr>
        <w:pStyle w:val="Szvegtrzs"/>
        <w:spacing w:after="160" w:line="240" w:lineRule="auto"/>
        <w:jc w:val="both"/>
      </w:pPr>
      <w:r>
        <w:t>Magyarország helyi önkormányzatairól szóló 2011. évi CLXXXIX. törvény 111. § (2) bekezdése szerint a rendelet Nagylóc Község Önkormányzatának 2025. évi költségvetésének - mint az önkormányzat gazdálkodási alapjának - egyensúlyát, és a közpénzekkel való szabályszerű, áttekinthető, gazdaságos, hatékony, eredményes és ellenőrizhető gazdálkodását biztosítja. A jogszabályban meghatározott bevételi előirányzatok azok teljesítésének kötelezettségét, a kiadási előirányzatok pedig - a bevételi előirányzatok teljesítésének figyelembevételével azok felhasználásának jogosultságát jelentik.</w:t>
      </w:r>
    </w:p>
    <w:sectPr w:rsidR="00AB4CCF">
      <w:footerReference w:type="default" r:id="rId31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6F37D" w14:textId="77777777" w:rsidR="00C47FDA" w:rsidRDefault="002650FE">
      <w:r>
        <w:separator/>
      </w:r>
    </w:p>
  </w:endnote>
  <w:endnote w:type="continuationSeparator" w:id="0">
    <w:p w14:paraId="3BCA02F6" w14:textId="77777777" w:rsidR="00C47FDA" w:rsidRDefault="0026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0C20" w14:textId="77777777" w:rsidR="00AB4CCF" w:rsidRDefault="002650F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21AD5" w14:textId="77777777" w:rsidR="00AB4CCF" w:rsidRDefault="002650F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CD90C" w14:textId="77777777" w:rsidR="00C47FDA" w:rsidRDefault="002650FE">
      <w:r>
        <w:separator/>
      </w:r>
    </w:p>
  </w:footnote>
  <w:footnote w:type="continuationSeparator" w:id="0">
    <w:p w14:paraId="4B732A5F" w14:textId="77777777" w:rsidR="00C47FDA" w:rsidRDefault="0026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23438"/>
    <w:multiLevelType w:val="multilevel"/>
    <w:tmpl w:val="050E521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CF"/>
    <w:rsid w:val="002650FE"/>
    <w:rsid w:val="00AB4CCF"/>
    <w:rsid w:val="00C47FDA"/>
    <w:rsid w:val="00D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3218"/>
  <w15:docId w15:val="{843FB027-8C6B-4CBC-8364-C98D42CF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.njt.hu/eli/451303/r/2025/1" TargetMode="External"/><Relationship Id="rId18" Type="http://schemas.openxmlformats.org/officeDocument/2006/relationships/hyperlink" Target="https://or.njt.hu/eli/451303/r/2025/1" TargetMode="External"/><Relationship Id="rId26" Type="http://schemas.openxmlformats.org/officeDocument/2006/relationships/hyperlink" Target="https://or.njt.hu/eli/451303/r/2025/1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.njt.hu/eli/451303/r/2025/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.njt.hu/eli/451303/r/2025/1" TargetMode="External"/><Relationship Id="rId17" Type="http://schemas.openxmlformats.org/officeDocument/2006/relationships/hyperlink" Target="https://or.njt.hu/eli/451303/r/2025/1" TargetMode="External"/><Relationship Id="rId25" Type="http://schemas.openxmlformats.org/officeDocument/2006/relationships/hyperlink" Target="https://or.njt.hu/eli/451303/r/2025/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r.njt.hu/eli/451303/r/2025/1" TargetMode="External"/><Relationship Id="rId20" Type="http://schemas.openxmlformats.org/officeDocument/2006/relationships/hyperlink" Target="https://or.njt.hu/eli/451303/r/2025/1" TargetMode="External"/><Relationship Id="rId29" Type="http://schemas.openxmlformats.org/officeDocument/2006/relationships/hyperlink" Target="https://or.njt.hu/eli/451303/r/2025/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.njt.hu/eli/451303/r/2025/1" TargetMode="External"/><Relationship Id="rId24" Type="http://schemas.openxmlformats.org/officeDocument/2006/relationships/hyperlink" Target="https://or.njt.hu/eli/451303/r/2025/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r.njt.hu/eli/451303/r/2025/1" TargetMode="External"/><Relationship Id="rId23" Type="http://schemas.openxmlformats.org/officeDocument/2006/relationships/hyperlink" Target="https://or.njt.hu/eli/451303/r/2025/1" TargetMode="External"/><Relationship Id="rId28" Type="http://schemas.openxmlformats.org/officeDocument/2006/relationships/hyperlink" Target="https://or.njt.hu/eli/451303/r/2025/1" TargetMode="External"/><Relationship Id="rId10" Type="http://schemas.openxmlformats.org/officeDocument/2006/relationships/hyperlink" Target="https://or.njt.hu/eli/451303/r/2025/1" TargetMode="External"/><Relationship Id="rId19" Type="http://schemas.openxmlformats.org/officeDocument/2006/relationships/hyperlink" Target="https://or.njt.hu/eli/451303/r/2025/1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jt.hu/jogszabaly/2011-4301-02-00" TargetMode="External"/><Relationship Id="rId14" Type="http://schemas.openxmlformats.org/officeDocument/2006/relationships/hyperlink" Target="https://or.njt.hu/eli/451303/r/2025/1" TargetMode="External"/><Relationship Id="rId22" Type="http://schemas.openxmlformats.org/officeDocument/2006/relationships/hyperlink" Target="https://or.njt.hu/eli/451303/r/2025/1" TargetMode="External"/><Relationship Id="rId27" Type="http://schemas.openxmlformats.org/officeDocument/2006/relationships/hyperlink" Target="https://or.njt.hu/eli/451303/r/2025/1" TargetMode="External"/><Relationship Id="rId30" Type="http://schemas.openxmlformats.org/officeDocument/2006/relationships/footer" Target="footer1.xml"/><Relationship Id="rId8" Type="http://schemas.openxmlformats.org/officeDocument/2006/relationships/hyperlink" Target="https://njt.hu/jogszabaly/2011-4301-02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FAECE-2211-431C-B398-776FCD2B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1390</Words>
  <Characters>9595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dc:description/>
  <cp:lastModifiedBy>Aljegyző</cp:lastModifiedBy>
  <cp:revision>3</cp:revision>
  <cp:lastPrinted>2025-03-03T12:45:00Z</cp:lastPrinted>
  <dcterms:created xsi:type="dcterms:W3CDTF">2025-03-03T12:45:00Z</dcterms:created>
  <dcterms:modified xsi:type="dcterms:W3CDTF">2025-03-17T10:44:00Z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