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FC" w:rsidRDefault="0047333E">
      <w:pPr>
        <w:pStyle w:val="Szvegtrzs"/>
        <w:spacing w:before="240" w:after="48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Nagylóc Község Önkormányzata Képviselő-testületének …/2025. (X. 20.) önkormányzati rendelete</w:t>
      </w:r>
    </w:p>
    <w:p w:rsidR="00A970FC" w:rsidRDefault="0047333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Nagylóc Község Önkormányzata Szervezeti és Működési szabályzatáról szóló 16/2024. (XII. 2.) önkormányzati rendelet módosításáról</w:t>
      </w:r>
    </w:p>
    <w:p w:rsidR="0047333E" w:rsidRDefault="0047333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(tervezet)</w:t>
      </w:r>
    </w:p>
    <w:p w:rsidR="00A970FC" w:rsidRDefault="0047333E">
      <w:pPr>
        <w:pStyle w:val="Szvegtrzs"/>
        <w:spacing w:after="0" w:line="240" w:lineRule="auto"/>
        <w:jc w:val="both"/>
      </w:pPr>
      <w:r>
        <w:t xml:space="preserve">[1] A rendeletmódosítás célja, hogy a Nógrád Vármegyei Kormányhivatal által a Képviselő-testületnek címzett törvényességi felhívásban szereplő jogszabálysértések megszüntetéséről gondoskodjon. </w:t>
      </w:r>
    </w:p>
    <w:p w:rsidR="00A970FC" w:rsidRDefault="0047333E">
      <w:pPr>
        <w:pStyle w:val="Szvegtrzs"/>
        <w:spacing w:before="120" w:after="0" w:line="240" w:lineRule="auto"/>
        <w:jc w:val="both"/>
      </w:pPr>
      <w:r>
        <w:t>[2] Nagylóc Község Önkormányzatának Képviselő-testülete Alaptörvény 32. cikk (2) bekezdésében meghatározott eredeti jogalkotói hatáskörében, Alaptörvény 32. cikk (1) bekezdésének d) pontjában, valamint Magyarország helyi önkormányzatairól szóló 2011. évi CLXXXIX. törvény 53. § (1) bekezdésében meghatározott feladatkörében eljárva a következőket rendeli el:</w:t>
      </w:r>
    </w:p>
    <w:p w:rsidR="00A970FC" w:rsidRDefault="004733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A970FC" w:rsidRDefault="0047333E">
      <w:pPr>
        <w:pStyle w:val="Szvegtrzs"/>
        <w:spacing w:after="0" w:line="240" w:lineRule="auto"/>
        <w:jc w:val="both"/>
      </w:pPr>
      <w:r>
        <w:t>A Nagylóc Község Önkormányzata Szervezeti és Működési szabályzatáról szóló 16/2024. (XII. 2.) önkormányzati rendelet bevezetője helyébe a következő preambulum lép:</w:t>
      </w:r>
    </w:p>
    <w:p w:rsidR="00A970FC" w:rsidRDefault="0047333E">
      <w:pPr>
        <w:pStyle w:val="Szvegtrzs"/>
        <w:spacing w:before="240" w:after="240" w:line="240" w:lineRule="auto"/>
        <w:jc w:val="both"/>
      </w:pPr>
      <w:r>
        <w:t>„Nagylóc Község Önkormányzatának Képviselő-testülete Alaptörvény 32. cikk (2) bekezdésében meghatározott eredeti jogalkotói hatáskörében, Alaptörvény 32. cikk (1) bekezdésének d) pontjában, valamint Magyarország helyi önkormányzatairól szóló 2011. évi CLXXXIX. törvény 53. § (1) bekezdésében meghatározott feladatkörében eljárva a következőket rendeli el:”</w:t>
      </w:r>
    </w:p>
    <w:p w:rsidR="00A970FC" w:rsidRDefault="004733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A970FC" w:rsidRDefault="0047333E">
      <w:pPr>
        <w:pStyle w:val="Szvegtrzs"/>
        <w:spacing w:after="0" w:line="240" w:lineRule="auto"/>
        <w:jc w:val="both"/>
      </w:pPr>
      <w:r>
        <w:t>A Nagylóc Község Önkormányzata Szervezeti és Működési szabályzatáról szóló 16/2024. (XII. 2.) önkormányzati rendelet 25. § (5) bekezdése helyébe a következő rendelkezés lép:</w:t>
      </w:r>
    </w:p>
    <w:p w:rsidR="00A970FC" w:rsidRDefault="0047333E">
      <w:pPr>
        <w:pStyle w:val="Szvegtrzs"/>
        <w:spacing w:before="240" w:after="240" w:line="240" w:lineRule="auto"/>
        <w:jc w:val="both"/>
      </w:pPr>
      <w:r>
        <w:t>„(5) Amennyiben a tárgyalandó napirend vagy más körülmény indokolja, a Képviselő-testület ülése a székhelyen kívül, Nagylóc közigazgatási területén belül máshová is összehívható.”</w:t>
      </w:r>
    </w:p>
    <w:p w:rsidR="00A970FC" w:rsidRDefault="004733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A970FC" w:rsidRDefault="0047333E">
      <w:pPr>
        <w:pStyle w:val="Szvegtrzs"/>
        <w:spacing w:after="0" w:line="240" w:lineRule="auto"/>
        <w:jc w:val="both"/>
      </w:pPr>
      <w:r>
        <w:t>A Nagylóc Község Önkormányzata Szervezeti és Működési szabályzatáról szóló 16/2024. (XII. 2.) önkormányzati rendelet 7. melléklete helyébe az 1. melléklet lép.</w:t>
      </w:r>
    </w:p>
    <w:p w:rsidR="00A970FC" w:rsidRDefault="0047333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A970FC" w:rsidRDefault="0047333E">
      <w:pPr>
        <w:pStyle w:val="Szvegtrzs"/>
        <w:spacing w:after="0" w:line="240" w:lineRule="auto"/>
        <w:jc w:val="both"/>
      </w:pPr>
      <w:r>
        <w:t>Ez a rendelet 2025. október 21-én lép hatályba.</w:t>
      </w:r>
      <w:r>
        <w:br w:type="page"/>
      </w:r>
    </w:p>
    <w:p w:rsidR="00A970FC" w:rsidRDefault="0047333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12/2025. (X. 20.) önkormányzati rendelethez</w:t>
      </w:r>
    </w:p>
    <w:p w:rsidR="007A40E9" w:rsidRPr="007A40E9" w:rsidRDefault="007A40E9" w:rsidP="007A40E9">
      <w:pPr>
        <w:suppressAutoHyphens w:val="0"/>
        <w:spacing w:after="10" w:line="249" w:lineRule="auto"/>
        <w:ind w:left="10" w:hanging="10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hu-HU" w:bidi="ar-SA"/>
        </w:rPr>
      </w:pPr>
      <w:r w:rsidRPr="007A40E9">
        <w:rPr>
          <w:rFonts w:eastAsia="Times New Roman" w:cs="Times New Roman"/>
          <w:b/>
          <w:i/>
          <w:color w:val="000000"/>
          <w:kern w:val="0"/>
          <w:szCs w:val="22"/>
          <w:lang w:eastAsia="hu-HU" w:bidi="ar-SA"/>
        </w:rPr>
        <w:t>Nagylóc Község Önkormányzata</w:t>
      </w:r>
      <w:r w:rsidRPr="007A40E9">
        <w:rPr>
          <w:rFonts w:eastAsia="Times New Roman" w:cs="Times New Roman"/>
          <w:b/>
          <w:color w:val="000000"/>
          <w:kern w:val="0"/>
          <w:szCs w:val="22"/>
          <w:lang w:eastAsia="hu-HU" w:bidi="ar-SA"/>
        </w:rPr>
        <w:t xml:space="preserve"> alaptevékenységének kormányzati funkciók szerinti besorolása: </w:t>
      </w:r>
    </w:p>
    <w:tbl>
      <w:tblPr>
        <w:tblStyle w:val="TableGrid"/>
        <w:tblW w:w="8940" w:type="dxa"/>
        <w:tblInd w:w="0" w:type="dxa"/>
        <w:tblLook w:val="04A0" w:firstRow="1" w:lastRow="0" w:firstColumn="1" w:lastColumn="0" w:noHBand="0" w:noVBand="1"/>
      </w:tblPr>
      <w:tblGrid>
        <w:gridCol w:w="2124"/>
        <w:gridCol w:w="6816"/>
      </w:tblGrid>
      <w:tr w:rsidR="007A40E9" w:rsidRPr="007A40E9" w:rsidTr="008E71B4">
        <w:trPr>
          <w:trHeight w:val="24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</w:rPr>
            </w:pPr>
            <w:r w:rsidRPr="007A40E9">
              <w:rPr>
                <w:rFonts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A40E9" w:rsidRPr="007A40E9" w:rsidTr="008E71B4">
        <w:trPr>
          <w:trHeight w:val="5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011130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Önkormányzatok és önkormányzati hivatalok jogalkotó és általános igazgatási tevékenysége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011220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Adó-, vám- és jövedéki igazgatás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013320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Köztemető-fenntartás és –működtetés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013350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Az önkormányzati vagyonnal való gazdálkodással kapcsolatos feladatok </w:t>
            </w:r>
          </w:p>
        </w:tc>
      </w:tr>
      <w:tr w:rsidR="007A40E9" w:rsidRPr="007A40E9" w:rsidTr="008E71B4">
        <w:trPr>
          <w:trHeight w:val="55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013360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Más szerv részére végzett pénzügyi-gazdálkodási, üzemeltetési, egyéb szolgáltatások </w:t>
            </w:r>
          </w:p>
        </w:tc>
      </w:tr>
      <w:tr w:rsidR="007A40E9" w:rsidRPr="007A40E9" w:rsidTr="008E71B4">
        <w:trPr>
          <w:trHeight w:val="5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016010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Országgyűlési, önkormányzati és európai parlamenti képviselőválasztásokhoz kapcsolódó tevékenységek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016020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Országos és helyi népszavazással kapcsolatos tevékenységek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018010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Önkormányzatok elszámolásai a központi költségvetéssel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018020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Központi költségvetési befizetések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018030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Támogatási célú finanszírozási műveletek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022010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Polgári honvédelem ágazati feladatai, a lakosság felkészítése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032020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Tűz-és katasztrófavédelmi tevékenységek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041232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Start-munka program-Téli közfoglalkoztatás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041233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Hosszabb időtartamú közfoglalkoztatás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041237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Közfoglalkoztatási mintaprogram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042180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>Állat-egészségügy (kivéve: kóbor állatokkal kapcsolatos feladatok)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045120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Út, autópálya építése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045160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Közutak, hidak, alagutak üzemeltetése, fenntartása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045220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Vizi létesítmény építése (kivéve: árvízvédelmi létesítmények)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047410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Ár- és belvízvédelemmel összefüggő tevékenységek </w:t>
            </w:r>
          </w:p>
        </w:tc>
      </w:tr>
      <w:tr w:rsidR="007A40E9" w:rsidRPr="007A40E9" w:rsidTr="008E71B4">
        <w:trPr>
          <w:trHeight w:val="5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051030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Nem veszélyes (települési) hulladék vegyes (ömlesztett) begyűjtése, szállítása, átrakása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063020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Víztermelés, -kezelés, -ellátás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064010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Közvilágítás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066010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Zöldterület-kezelés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066020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Város-, községgazdálkodási egyéb szolgáltatások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072111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Háziorvosi alapellátás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072112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Háziorvosi ügyeleti ellátás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074031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Család és nővédelmi egészségügyi gondozás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081030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Sportlétesítmények, edzőtáborok működtetése és fejlesztése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081041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Versenysport- és utánpótlás-nevelési tevékenység és támogatása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081043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Iskolai, diáksport-tevékenység és támogatása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081045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>Szabadidősport</w:t>
            </w:r>
            <w:proofErr w:type="gramStart"/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rekreációs sport-) tevékenység és támogatása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082042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Könyvtári állomány gyarapítása, nyilvántartása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082044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Könyvtári szolgáltatások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082092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Közművelődés-hagyományos közösségi kulturális értékek gondozása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084031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Civil szervezetek működési támogatása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091110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Óvodai nevelés, ellátás szakmai feladatai </w:t>
            </w:r>
          </w:p>
        </w:tc>
      </w:tr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091140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Óvodai ellátás működtetési feladatai </w:t>
            </w:r>
          </w:p>
        </w:tc>
      </w:tr>
      <w:tr w:rsidR="007A40E9" w:rsidRPr="007A40E9" w:rsidTr="008E71B4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096015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Gyermekétkeztetés köznevelési intézményben </w:t>
            </w:r>
          </w:p>
        </w:tc>
      </w:tr>
    </w:tbl>
    <w:p w:rsidR="007A40E9" w:rsidRPr="007A40E9" w:rsidRDefault="007A40E9" w:rsidP="007A40E9">
      <w:pPr>
        <w:suppressAutoHyphens w:val="0"/>
        <w:spacing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</w:p>
    <w:p w:rsidR="007A40E9" w:rsidRPr="007A40E9" w:rsidRDefault="007A40E9" w:rsidP="007A40E9">
      <w:pPr>
        <w:tabs>
          <w:tab w:val="center" w:pos="1068"/>
          <w:tab w:val="center" w:pos="4506"/>
        </w:tabs>
        <w:suppressAutoHyphens w:val="0"/>
        <w:spacing w:after="12" w:line="259" w:lineRule="auto"/>
        <w:rPr>
          <w:rFonts w:eastAsia="Times New Roman" w:cs="Times New Roman"/>
          <w:color w:val="000000"/>
          <w:kern w:val="0"/>
          <w:lang w:eastAsia="hu-HU" w:bidi="ar-SA"/>
        </w:rPr>
      </w:pPr>
    </w:p>
    <w:p w:rsidR="007A40E9" w:rsidRPr="007A40E9" w:rsidRDefault="007A40E9" w:rsidP="007A40E9">
      <w:pPr>
        <w:tabs>
          <w:tab w:val="center" w:pos="1068"/>
          <w:tab w:val="center" w:pos="4506"/>
        </w:tabs>
        <w:suppressAutoHyphens w:val="0"/>
        <w:spacing w:after="12"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lastRenderedPageBreak/>
        <w:tab/>
        <w:t xml:space="preserve">096025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Munkahelyi étkeztetés köznevelési intézményben </w:t>
      </w:r>
    </w:p>
    <w:p w:rsidR="007A40E9" w:rsidRPr="007A40E9" w:rsidRDefault="007A40E9" w:rsidP="007A40E9">
      <w:pPr>
        <w:tabs>
          <w:tab w:val="center" w:pos="1068"/>
          <w:tab w:val="center" w:pos="3216"/>
        </w:tabs>
        <w:suppressAutoHyphens w:val="0"/>
        <w:spacing w:after="12"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102031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Idősek nappali ellátása </w:t>
      </w:r>
    </w:p>
    <w:p w:rsidR="007A40E9" w:rsidRPr="007A40E9" w:rsidRDefault="007A40E9" w:rsidP="007A40E9">
      <w:pPr>
        <w:tabs>
          <w:tab w:val="center" w:pos="1068"/>
          <w:tab w:val="center" w:pos="3656"/>
        </w:tabs>
        <w:suppressAutoHyphens w:val="0"/>
        <w:spacing w:after="12" w:line="259" w:lineRule="auto"/>
        <w:ind w:left="2124" w:hanging="1488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104030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>Gyermekek napközbeni ellátása családi bölcsőde, munkahelyi bölcsőde, napközbeni gyermekfelügyelet, vagy alternatív napközbeni ellátás útján</w:t>
      </w:r>
    </w:p>
    <w:p w:rsidR="007A40E9" w:rsidRPr="007A40E9" w:rsidRDefault="007A40E9" w:rsidP="007A40E9">
      <w:pPr>
        <w:tabs>
          <w:tab w:val="center" w:pos="1068"/>
          <w:tab w:val="center" w:pos="3975"/>
        </w:tabs>
        <w:suppressAutoHyphens w:val="0"/>
        <w:spacing w:after="12"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104037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Intézményen kívüli gyermekétkeztetés </w:t>
      </w:r>
    </w:p>
    <w:p w:rsidR="007A40E9" w:rsidRPr="007A40E9" w:rsidRDefault="007A40E9" w:rsidP="007A40E9">
      <w:pPr>
        <w:tabs>
          <w:tab w:val="center" w:pos="1068"/>
          <w:tab w:val="center" w:pos="3526"/>
        </w:tabs>
        <w:suppressAutoHyphens w:val="0"/>
        <w:spacing w:after="12"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104042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          Család- és gyermekjóléti szolgáltatás </w:t>
      </w:r>
    </w:p>
    <w:p w:rsidR="007A40E9" w:rsidRPr="007A40E9" w:rsidRDefault="007A40E9" w:rsidP="007A40E9">
      <w:pPr>
        <w:tabs>
          <w:tab w:val="center" w:pos="1068"/>
          <w:tab w:val="center" w:pos="3349"/>
        </w:tabs>
        <w:suppressAutoHyphens w:val="0"/>
        <w:spacing w:after="12"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104044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Biztos Kezdet Gyerekház </w:t>
      </w:r>
    </w:p>
    <w:p w:rsidR="007A40E9" w:rsidRPr="007A40E9" w:rsidRDefault="007A40E9" w:rsidP="007A40E9">
      <w:pPr>
        <w:tabs>
          <w:tab w:val="center" w:pos="1068"/>
          <w:tab w:val="center" w:pos="4630"/>
        </w:tabs>
        <w:suppressAutoHyphens w:val="0"/>
        <w:spacing w:after="12"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106020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Lakásfenntartással, lakhatással összefüggő ellátások </w:t>
      </w:r>
    </w:p>
    <w:p w:rsidR="007A40E9" w:rsidRPr="007A40E9" w:rsidRDefault="007A40E9" w:rsidP="007A40E9">
      <w:pPr>
        <w:numPr>
          <w:ilvl w:val="0"/>
          <w:numId w:val="2"/>
        </w:numPr>
        <w:suppressAutoHyphens w:val="0"/>
        <w:spacing w:after="12" w:line="259" w:lineRule="auto"/>
        <w:ind w:hanging="1416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t>Szociális étkeztetés szociális konyán</w:t>
      </w:r>
    </w:p>
    <w:p w:rsidR="007A40E9" w:rsidRPr="007A40E9" w:rsidRDefault="007A40E9" w:rsidP="007A40E9">
      <w:pPr>
        <w:numPr>
          <w:ilvl w:val="0"/>
          <w:numId w:val="2"/>
        </w:numPr>
        <w:suppressAutoHyphens w:val="0"/>
        <w:spacing w:after="12" w:line="259" w:lineRule="auto"/>
        <w:ind w:hanging="1416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Házi segítségnyújtás </w:t>
      </w:r>
    </w:p>
    <w:p w:rsidR="007A40E9" w:rsidRPr="007A40E9" w:rsidRDefault="007A40E9" w:rsidP="007A40E9">
      <w:pPr>
        <w:numPr>
          <w:ilvl w:val="0"/>
          <w:numId w:val="2"/>
        </w:numPr>
        <w:suppressAutoHyphens w:val="0"/>
        <w:spacing w:after="12" w:line="259" w:lineRule="auto"/>
        <w:ind w:hanging="1416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Jelzőrendszeres házi segítségnyújtás </w:t>
      </w:r>
    </w:p>
    <w:p w:rsidR="007A40E9" w:rsidRPr="007A40E9" w:rsidRDefault="007A40E9" w:rsidP="007A40E9">
      <w:pPr>
        <w:numPr>
          <w:ilvl w:val="0"/>
          <w:numId w:val="2"/>
        </w:numPr>
        <w:suppressAutoHyphens w:val="0"/>
        <w:spacing w:after="12" w:line="259" w:lineRule="auto"/>
        <w:ind w:hanging="1416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Falugondnoki, tanyagondnoki szolgáltatás </w:t>
      </w:r>
    </w:p>
    <w:p w:rsidR="007A40E9" w:rsidRPr="007A40E9" w:rsidRDefault="007A40E9" w:rsidP="007A40E9">
      <w:pPr>
        <w:tabs>
          <w:tab w:val="center" w:pos="1068"/>
          <w:tab w:val="center" w:pos="5259"/>
        </w:tabs>
        <w:suppressAutoHyphens w:val="0"/>
        <w:spacing w:after="12" w:line="259" w:lineRule="auto"/>
        <w:rPr>
          <w:rFonts w:eastAsia="Times New Roman" w:cs="Times New Roman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107060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Egyéb szociális pénzbeli és természetbeni ellátások, támogatások </w:t>
      </w:r>
    </w:p>
    <w:p w:rsidR="007A40E9" w:rsidRPr="007A40E9" w:rsidRDefault="007A40E9" w:rsidP="007A40E9">
      <w:pPr>
        <w:tabs>
          <w:tab w:val="center" w:pos="1068"/>
          <w:tab w:val="center" w:pos="5259"/>
        </w:tabs>
        <w:suppressAutoHyphens w:val="0"/>
        <w:spacing w:after="12" w:line="259" w:lineRule="auto"/>
        <w:rPr>
          <w:rFonts w:eastAsia="Calibri" w:cs="Times New Roman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Calibri" w:cs="Times New Roman"/>
          <w:color w:val="000000"/>
          <w:kern w:val="0"/>
          <w:lang w:eastAsia="hu-HU" w:bidi="ar-SA"/>
        </w:rPr>
        <w:t>107070</w:t>
      </w:r>
      <w:r w:rsidRPr="007A40E9">
        <w:rPr>
          <w:rFonts w:eastAsia="Calibri" w:cs="Times New Roman"/>
          <w:color w:val="000000"/>
          <w:kern w:val="0"/>
          <w:lang w:eastAsia="hu-HU" w:bidi="ar-SA"/>
        </w:rPr>
        <w:tab/>
        <w:t xml:space="preserve">        Menekültek, befogadottak, </w:t>
      </w:r>
      <w:proofErr w:type="spellStart"/>
      <w:r w:rsidRPr="007A40E9">
        <w:rPr>
          <w:rFonts w:eastAsia="Calibri" w:cs="Times New Roman"/>
          <w:color w:val="000000"/>
          <w:kern w:val="0"/>
          <w:lang w:eastAsia="hu-HU" w:bidi="ar-SA"/>
        </w:rPr>
        <w:t>oltalmazottak</w:t>
      </w:r>
      <w:proofErr w:type="spellEnd"/>
      <w:r w:rsidRPr="007A40E9">
        <w:rPr>
          <w:rFonts w:eastAsia="Calibri" w:cs="Times New Roman"/>
          <w:color w:val="000000"/>
          <w:kern w:val="0"/>
          <w:lang w:eastAsia="hu-HU" w:bidi="ar-SA"/>
        </w:rPr>
        <w:t xml:space="preserve"> ideiglenes ellátása és támogatása</w:t>
      </w:r>
    </w:p>
    <w:p w:rsidR="007A40E9" w:rsidRPr="007A40E9" w:rsidRDefault="007A40E9" w:rsidP="007A40E9">
      <w:pPr>
        <w:suppressAutoHyphens w:val="0"/>
        <w:spacing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 </w:t>
      </w:r>
    </w:p>
    <w:p w:rsidR="007A40E9" w:rsidRPr="007A40E9" w:rsidRDefault="007A40E9" w:rsidP="007A40E9">
      <w:pPr>
        <w:suppressAutoHyphens w:val="0"/>
        <w:spacing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</w:p>
    <w:p w:rsidR="007A40E9" w:rsidRPr="007A40E9" w:rsidRDefault="007A40E9" w:rsidP="007A40E9">
      <w:pPr>
        <w:suppressAutoHyphens w:val="0"/>
        <w:spacing w:after="10" w:line="249" w:lineRule="auto"/>
        <w:ind w:left="10" w:hanging="10"/>
        <w:jc w:val="center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b/>
          <w:color w:val="000000"/>
          <w:kern w:val="0"/>
          <w:lang w:eastAsia="hu-HU" w:bidi="ar-SA"/>
        </w:rPr>
        <w:t xml:space="preserve">A </w:t>
      </w:r>
      <w:proofErr w:type="spellStart"/>
      <w:r w:rsidRPr="007A40E9">
        <w:rPr>
          <w:rFonts w:eastAsia="Times New Roman" w:cs="Times New Roman"/>
          <w:b/>
          <w:i/>
          <w:color w:val="000000"/>
          <w:kern w:val="0"/>
          <w:lang w:eastAsia="hu-HU" w:bidi="ar-SA"/>
        </w:rPr>
        <w:t>Nagylóci</w:t>
      </w:r>
      <w:proofErr w:type="spellEnd"/>
      <w:r w:rsidRPr="007A40E9">
        <w:rPr>
          <w:rFonts w:eastAsia="Times New Roman" w:cs="Times New Roman"/>
          <w:b/>
          <w:i/>
          <w:color w:val="000000"/>
          <w:kern w:val="0"/>
          <w:lang w:eastAsia="hu-HU" w:bidi="ar-SA"/>
        </w:rPr>
        <w:t xml:space="preserve"> Csicsergő Óvoda és Konyha </w:t>
      </w:r>
      <w:r w:rsidRPr="007A40E9">
        <w:rPr>
          <w:rFonts w:eastAsia="Times New Roman" w:cs="Times New Roman"/>
          <w:b/>
          <w:color w:val="000000"/>
          <w:kern w:val="0"/>
          <w:lang w:eastAsia="hu-HU" w:bidi="ar-SA"/>
        </w:rPr>
        <w:t xml:space="preserve">költségvetési szerv alaptevékenységének kormányzati funkciók szerinti besorolása: </w:t>
      </w:r>
    </w:p>
    <w:tbl>
      <w:tblPr>
        <w:tblStyle w:val="TableGrid"/>
        <w:tblW w:w="8882" w:type="dxa"/>
        <w:tblInd w:w="0" w:type="dxa"/>
        <w:tblLook w:val="04A0" w:firstRow="1" w:lastRow="0" w:firstColumn="1" w:lastColumn="0" w:noHBand="0" w:noVBand="1"/>
      </w:tblPr>
      <w:tblGrid>
        <w:gridCol w:w="2170"/>
        <w:gridCol w:w="6712"/>
      </w:tblGrid>
      <w:tr w:rsidR="007A40E9" w:rsidRPr="007A40E9" w:rsidTr="008E71B4">
        <w:trPr>
          <w:trHeight w:val="226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A40E9" w:rsidRPr="007A40E9" w:rsidTr="008E71B4">
        <w:trPr>
          <w:trHeight w:val="253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091110 </w:t>
            </w: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Óvodai nevelés, ellátás szakmai feladatai </w:t>
            </w:r>
          </w:p>
        </w:tc>
      </w:tr>
      <w:tr w:rsidR="007A40E9" w:rsidRPr="007A40E9" w:rsidTr="008E71B4">
        <w:trPr>
          <w:trHeight w:val="507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091120 </w:t>
            </w: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Sajátos nevelési igényű gyermekek óvodai nevelésének, ellátásának szakmai feladatai  </w:t>
            </w:r>
          </w:p>
        </w:tc>
      </w:tr>
      <w:tr w:rsidR="007A40E9" w:rsidRPr="007A40E9" w:rsidTr="008E71B4">
        <w:trPr>
          <w:trHeight w:val="253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091130 </w:t>
            </w: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Nemzetiségi óvodai nevelés, ellátás szakmai feladatai </w:t>
            </w:r>
          </w:p>
        </w:tc>
      </w:tr>
      <w:tr w:rsidR="007A40E9" w:rsidRPr="007A40E9" w:rsidTr="008E71B4">
        <w:trPr>
          <w:trHeight w:val="253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091140 </w:t>
            </w: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Óvodai nevelés, ellátás működtetési feladatai </w:t>
            </w:r>
          </w:p>
        </w:tc>
      </w:tr>
      <w:tr w:rsidR="007A40E9" w:rsidRPr="007A40E9" w:rsidTr="008E71B4">
        <w:trPr>
          <w:trHeight w:val="253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tabs>
                <w:tab w:val="center" w:pos="1068"/>
              </w:tabs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 xml:space="preserve">107080 </w:t>
            </w: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Esélyegyenlőség elősegítését célzó tevékenységek és programok </w:t>
            </w:r>
          </w:p>
        </w:tc>
      </w:tr>
      <w:tr w:rsidR="007A40E9" w:rsidRPr="007A40E9" w:rsidTr="008E71B4">
        <w:trPr>
          <w:trHeight w:val="253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tabs>
                <w:tab w:val="center" w:pos="1068"/>
              </w:tabs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ab/>
              <w:t xml:space="preserve">041232 </w:t>
            </w: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Start-munka program – Téli közfoglalkoztatás </w:t>
            </w:r>
          </w:p>
        </w:tc>
      </w:tr>
    </w:tbl>
    <w:p w:rsidR="007A40E9" w:rsidRPr="007A40E9" w:rsidRDefault="007A40E9" w:rsidP="007A40E9">
      <w:pPr>
        <w:suppressAutoHyphens w:val="0"/>
        <w:spacing w:line="259" w:lineRule="auto"/>
        <w:ind w:left="693"/>
        <w:rPr>
          <w:rFonts w:eastAsia="Times New Roman" w:cs="Times New Roman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t>041233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>Hosszabb időtartamú közfoglalkoztatás</w:t>
      </w:r>
    </w:p>
    <w:p w:rsidR="007A40E9" w:rsidRPr="007A40E9" w:rsidRDefault="007A40E9" w:rsidP="007A40E9">
      <w:pPr>
        <w:suppressAutoHyphens w:val="0"/>
        <w:spacing w:line="259" w:lineRule="auto"/>
        <w:ind w:left="693"/>
        <w:rPr>
          <w:rFonts w:eastAsia="Times New Roman" w:cs="Times New Roman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t>104037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>Intézményen kívüli gyermekétkeztetés</w:t>
      </w:r>
    </w:p>
    <w:p w:rsidR="007A40E9" w:rsidRPr="007A40E9" w:rsidRDefault="007A40E9" w:rsidP="007A40E9">
      <w:pPr>
        <w:suppressAutoHyphens w:val="0"/>
        <w:spacing w:line="259" w:lineRule="auto"/>
        <w:ind w:firstLine="693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eastAsia="Times New Roman" w:cs="Times New Roman"/>
          <w:color w:val="000000"/>
          <w:kern w:val="0"/>
          <w:lang w:eastAsia="hu-HU" w:bidi="ar-SA"/>
        </w:rPr>
        <w:t>107051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>Szociális étkeztetés szociális konyán</w:t>
      </w:r>
    </w:p>
    <w:tbl>
      <w:tblPr>
        <w:tblStyle w:val="TableGrid"/>
        <w:tblW w:w="8940" w:type="dxa"/>
        <w:tblInd w:w="0" w:type="dxa"/>
        <w:tblLook w:val="04A0" w:firstRow="1" w:lastRow="0" w:firstColumn="1" w:lastColumn="0" w:noHBand="0" w:noVBand="1"/>
      </w:tblPr>
      <w:tblGrid>
        <w:gridCol w:w="2124"/>
        <w:gridCol w:w="6816"/>
      </w:tblGrid>
      <w:tr w:rsidR="007A40E9" w:rsidRPr="007A40E9" w:rsidTr="008E71B4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7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096015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Gyermekétkeztetés köznevelési intézményben </w:t>
            </w:r>
          </w:p>
        </w:tc>
      </w:tr>
    </w:tbl>
    <w:p w:rsidR="007A40E9" w:rsidRPr="007A40E9" w:rsidRDefault="007A40E9" w:rsidP="007A40E9">
      <w:pPr>
        <w:tabs>
          <w:tab w:val="center" w:pos="1068"/>
          <w:tab w:val="center" w:pos="4506"/>
        </w:tabs>
        <w:suppressAutoHyphens w:val="0"/>
        <w:spacing w:after="12" w:line="259" w:lineRule="auto"/>
        <w:rPr>
          <w:rFonts w:ascii="Calibri" w:eastAsia="Calibri" w:hAnsi="Calibri" w:cs="Calibri"/>
          <w:color w:val="000000"/>
          <w:kern w:val="0"/>
          <w:lang w:eastAsia="hu-HU" w:bidi="ar-SA"/>
        </w:rPr>
      </w:pPr>
      <w:r w:rsidRPr="007A40E9">
        <w:rPr>
          <w:rFonts w:ascii="Calibri" w:eastAsia="Calibri" w:hAnsi="Calibri" w:cs="Calibri"/>
          <w:color w:val="000000"/>
          <w:kern w:val="0"/>
          <w:lang w:eastAsia="hu-HU" w:bidi="ar-SA"/>
        </w:rPr>
        <w:tab/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 xml:space="preserve">096025 </w:t>
      </w:r>
      <w:r w:rsidRPr="007A40E9">
        <w:rPr>
          <w:rFonts w:eastAsia="Times New Roman" w:cs="Times New Roman"/>
          <w:color w:val="000000"/>
          <w:kern w:val="0"/>
          <w:lang w:eastAsia="hu-HU" w:bidi="ar-SA"/>
        </w:rPr>
        <w:tab/>
        <w:t xml:space="preserve">Munkahelyi étkeztetés köznevelési intézményben </w:t>
      </w:r>
    </w:p>
    <w:tbl>
      <w:tblPr>
        <w:tblStyle w:val="TableGrid"/>
        <w:tblW w:w="8940" w:type="dxa"/>
        <w:tblInd w:w="0" w:type="dxa"/>
        <w:tblLook w:val="04A0" w:firstRow="1" w:lastRow="0" w:firstColumn="1" w:lastColumn="0" w:noHBand="0" w:noVBand="1"/>
      </w:tblPr>
      <w:tblGrid>
        <w:gridCol w:w="2124"/>
        <w:gridCol w:w="6816"/>
      </w:tblGrid>
      <w:tr w:rsidR="007A40E9" w:rsidRPr="007A40E9" w:rsidTr="008E71B4">
        <w:trPr>
          <w:trHeight w:val="2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ind w:left="1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018030 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7A40E9" w:rsidRPr="007A40E9" w:rsidRDefault="007A40E9" w:rsidP="007A40E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A40E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Támogatási célú finanszírozási műveletek </w:t>
            </w:r>
          </w:p>
        </w:tc>
      </w:tr>
    </w:tbl>
    <w:p w:rsidR="007A40E9" w:rsidRPr="007A40E9" w:rsidRDefault="007A40E9" w:rsidP="007A40E9">
      <w:pPr>
        <w:suppressAutoHyphens w:val="0"/>
        <w:spacing w:after="12" w:line="259" w:lineRule="auto"/>
        <w:ind w:left="2109"/>
        <w:rPr>
          <w:rFonts w:ascii="Calibri" w:eastAsia="Calibri" w:hAnsi="Calibri" w:cs="Calibri"/>
          <w:color w:val="000000"/>
          <w:kern w:val="0"/>
          <w:sz w:val="22"/>
          <w:szCs w:val="22"/>
          <w:lang w:eastAsia="hu-HU" w:bidi="ar-SA"/>
        </w:rPr>
      </w:pPr>
    </w:p>
    <w:p w:rsidR="007A40E9" w:rsidRPr="007A40E9" w:rsidRDefault="007A40E9" w:rsidP="007A40E9">
      <w:pPr>
        <w:suppressAutoHyphens w:val="0"/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hu-HU" w:bidi="ar-SA"/>
        </w:rPr>
      </w:pPr>
    </w:p>
    <w:p w:rsidR="00A970FC" w:rsidRDefault="00A970FC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7A40E9" w:rsidRDefault="007A40E9">
      <w:pPr>
        <w:pStyle w:val="Szvegtrzs"/>
        <w:spacing w:after="0"/>
        <w:jc w:val="center"/>
      </w:pPr>
    </w:p>
    <w:p w:rsidR="00A970FC" w:rsidRDefault="0047333E">
      <w:pPr>
        <w:pStyle w:val="Szvegtrzs"/>
        <w:spacing w:after="159" w:line="240" w:lineRule="auto"/>
        <w:ind w:left="159" w:right="159"/>
        <w:jc w:val="center"/>
      </w:pPr>
      <w:r>
        <w:lastRenderedPageBreak/>
        <w:t>Végső előterjesztői indokolás</w:t>
      </w:r>
    </w:p>
    <w:p w:rsidR="00A970FC" w:rsidRDefault="0047333E">
      <w:pPr>
        <w:pStyle w:val="Szvegtrzs"/>
        <w:spacing w:before="159" w:after="159" w:line="240" w:lineRule="auto"/>
        <w:ind w:left="159" w:right="159"/>
        <w:jc w:val="both"/>
      </w:pPr>
      <w:r>
        <w:t>A Nógrád Vármegyei Kormányhivatal NO/TFO/780-1/2025. iktatószámú, törvényességi felhívás tárgyú levelében foglaltak szerint szükségessé vált az SZMSZ-ben módosításokat végrehajtani.</w:t>
      </w:r>
    </w:p>
    <w:p w:rsidR="00A970FC" w:rsidRDefault="0047333E">
      <w:pPr>
        <w:pStyle w:val="Szvegtrzs"/>
        <w:spacing w:before="159" w:after="159" w:line="240" w:lineRule="auto"/>
        <w:ind w:left="159" w:right="159"/>
        <w:jc w:val="both"/>
      </w:pPr>
      <w:r>
        <w:t>Az SZMSZ 7. számú mellékletében módosítást szükséges eszközölni, tekintettel arra, hogy a 042180 Állat-egészségügy elnevezésű kormányzati funkció megnevezése 042180 Állat-egészségügy (kivéve: kóbor állatokkal kapcsolatos feladatok) elnevezésre módosult.</w:t>
      </w:r>
    </w:p>
    <w:sectPr w:rsidR="00A970FC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F05" w:rsidRDefault="0047333E">
      <w:r>
        <w:separator/>
      </w:r>
    </w:p>
  </w:endnote>
  <w:endnote w:type="continuationSeparator" w:id="0">
    <w:p w:rsidR="00751F05" w:rsidRDefault="0047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0FC" w:rsidRDefault="0047333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F05" w:rsidRDefault="0047333E">
      <w:r>
        <w:separator/>
      </w:r>
    </w:p>
  </w:footnote>
  <w:footnote w:type="continuationSeparator" w:id="0">
    <w:p w:rsidR="00751F05" w:rsidRDefault="00473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3688"/>
    <w:multiLevelType w:val="hybridMultilevel"/>
    <w:tmpl w:val="9E2EE3C8"/>
    <w:lvl w:ilvl="0" w:tplc="1EA05836">
      <w:start w:val="107051"/>
      <w:numFmt w:val="decimal"/>
      <w:lvlText w:val="%1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2C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459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686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2B6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CBA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A84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EF0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243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1B6B44"/>
    <w:multiLevelType w:val="multilevel"/>
    <w:tmpl w:val="A5F8B3D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FC"/>
    <w:rsid w:val="000407FF"/>
    <w:rsid w:val="0047333E"/>
    <w:rsid w:val="00751F05"/>
    <w:rsid w:val="007A40E9"/>
    <w:rsid w:val="00A9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F9230-CACF-4E9B-AEA0-FADCC152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TableGrid">
    <w:name w:val="TableGrid"/>
    <w:rsid w:val="007A40E9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hu-HU" w:eastAsia="hu-HU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dc:description/>
  <cp:lastModifiedBy>Aljegyző</cp:lastModifiedBy>
  <cp:revision>2</cp:revision>
  <cp:lastPrinted>2025-10-15T12:34:00Z</cp:lastPrinted>
  <dcterms:created xsi:type="dcterms:W3CDTF">2025-10-15T13:21:00Z</dcterms:created>
  <dcterms:modified xsi:type="dcterms:W3CDTF">2025-10-15T13:21:00Z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